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方正小标宋简体" w:eastAsia="方正小标宋简体"/>
          <w:sz w:val="36"/>
          <w:szCs w:val="36"/>
        </w:rPr>
      </w:pPr>
      <w:bookmarkStart w:id="1" w:name="_GoBack"/>
      <w:bookmarkEnd w:id="1"/>
      <w:bookmarkStart w:id="0" w:name="_Hlk30059406"/>
      <w:r>
        <w:rPr>
          <w:rFonts w:hint="eastAsia" w:ascii="方正小标宋简体" w:eastAsia="方正小标宋简体"/>
          <w:sz w:val="36"/>
          <w:szCs w:val="36"/>
        </w:rPr>
        <w:t xml:space="preserve">四川省注税行业党委 </w:t>
      </w:r>
      <w:r>
        <w:rPr>
          <w:rFonts w:ascii="方正小标宋简体" w:eastAsia="方正小标宋简体"/>
          <w:sz w:val="36"/>
          <w:szCs w:val="36"/>
        </w:rPr>
        <w:t xml:space="preserve">  </w:t>
      </w:r>
      <w:r>
        <w:rPr>
          <w:rFonts w:hint="eastAsia" w:ascii="方正小标宋简体" w:eastAsia="方正小标宋简体"/>
          <w:sz w:val="36"/>
          <w:szCs w:val="36"/>
        </w:rPr>
        <w:t>四川省注册税务师协会</w:t>
      </w:r>
    </w:p>
    <w:p>
      <w:pPr>
        <w:spacing w:line="600" w:lineRule="exact"/>
        <w:jc w:val="center"/>
        <w:rPr>
          <w:rFonts w:ascii="方正小标宋简体" w:eastAsia="方正小标宋简体"/>
          <w:sz w:val="36"/>
          <w:szCs w:val="36"/>
        </w:rPr>
      </w:pPr>
      <w:r>
        <w:rPr>
          <w:rFonts w:hint="eastAsia" w:ascii="方正小标宋简体" w:eastAsia="方正小标宋简体"/>
          <w:sz w:val="36"/>
          <w:szCs w:val="36"/>
        </w:rPr>
        <w:t>关于推进四川省税务师行业高质量发展的指导意见</w:t>
      </w:r>
    </w:p>
    <w:bookmarkEnd w:id="0"/>
    <w:p>
      <w:pPr>
        <w:rPr>
          <w:rFonts w:ascii="方正仿宋简体" w:eastAsia="方正仿宋简体"/>
          <w:szCs w:val="32"/>
        </w:rPr>
      </w:pPr>
    </w:p>
    <w:p>
      <w:pPr>
        <w:spacing w:line="570" w:lineRule="exact"/>
        <w:ind w:firstLine="640" w:firstLineChars="200"/>
        <w:rPr>
          <w:rFonts w:ascii="仿宋_GB2312"/>
          <w:szCs w:val="32"/>
        </w:rPr>
      </w:pPr>
      <w:r>
        <w:rPr>
          <w:rFonts w:hint="eastAsia" w:ascii="仿宋_GB2312"/>
          <w:szCs w:val="32"/>
        </w:rPr>
        <w:t>为推进四川省税务师行业高质量发展，更好地服务经济社会、税收事业和纳税人，实现涉税专业服务治理体系和治理能力现代化，制定本意见。</w:t>
      </w:r>
    </w:p>
    <w:p>
      <w:pPr>
        <w:spacing w:line="570" w:lineRule="exact"/>
        <w:ind w:firstLine="640" w:firstLineChars="200"/>
        <w:rPr>
          <w:rFonts w:ascii="黑体" w:hAnsi="黑体" w:eastAsia="黑体"/>
          <w:szCs w:val="32"/>
        </w:rPr>
      </w:pPr>
      <w:r>
        <w:rPr>
          <w:rFonts w:hint="eastAsia" w:ascii="黑体" w:hAnsi="黑体" w:eastAsia="黑体"/>
          <w:szCs w:val="32"/>
        </w:rPr>
        <w:t>一、指导思想</w:t>
      </w:r>
    </w:p>
    <w:p>
      <w:pPr>
        <w:spacing w:line="570" w:lineRule="exact"/>
        <w:ind w:firstLine="640" w:firstLineChars="200"/>
        <w:rPr>
          <w:rFonts w:ascii="仿宋_GB2312"/>
          <w:szCs w:val="32"/>
        </w:rPr>
      </w:pPr>
      <w:r>
        <w:rPr>
          <w:rFonts w:hint="eastAsia" w:ascii="仿宋_GB2312"/>
          <w:szCs w:val="32"/>
        </w:rPr>
        <w:t>以习近平新时代中国特色社会主义思想为指导，全面贯彻落实党的十九大和十九届二中、三中、四中全会精神，自觉坚定“四个自信”、增强“四个意识”、做到“两个维护”，以党建为统领，以法制、开放、人才、文化、科技为支撑，以税务师事务所为主体，紧扣涉税专业服务市场化需求，树牢新发展理念，抢抓新发展机遇，凝聚全行业智慧和力量，努力把全省税务师行业建设成为政治过硬、组织放心、客户满意的行业。</w:t>
      </w:r>
    </w:p>
    <w:p>
      <w:pPr>
        <w:spacing w:line="570" w:lineRule="exact"/>
        <w:ind w:firstLine="640" w:firstLineChars="200"/>
        <w:rPr>
          <w:rFonts w:ascii="黑体" w:hAnsi="黑体" w:eastAsia="黑体"/>
          <w:szCs w:val="32"/>
        </w:rPr>
      </w:pPr>
      <w:r>
        <w:rPr>
          <w:rFonts w:hint="eastAsia" w:ascii="黑体" w:hAnsi="黑体" w:eastAsia="黑体"/>
          <w:szCs w:val="32"/>
        </w:rPr>
        <w:t>二、目标定位</w:t>
      </w:r>
    </w:p>
    <w:p>
      <w:pPr>
        <w:spacing w:line="570" w:lineRule="exact"/>
        <w:ind w:firstLine="643" w:firstLineChars="200"/>
        <w:rPr>
          <w:rFonts w:ascii="仿宋_GB2312"/>
          <w:szCs w:val="32"/>
        </w:rPr>
      </w:pPr>
      <w:r>
        <w:rPr>
          <w:rFonts w:hint="eastAsia" w:ascii="楷体_GB2312" w:eastAsia="楷体_GB2312"/>
          <w:b/>
          <w:szCs w:val="32"/>
        </w:rPr>
        <w:t>（一）发展思路</w:t>
      </w:r>
      <w:r>
        <w:rPr>
          <w:rFonts w:hint="eastAsia" w:ascii="仿宋_GB2312"/>
          <w:szCs w:val="32"/>
        </w:rPr>
        <w:t>。</w:t>
      </w:r>
      <w:r>
        <w:rPr>
          <w:rFonts w:hint="eastAsia" w:ascii="仿宋_GB2312" w:hAnsi="黑体"/>
          <w:szCs w:val="32"/>
        </w:rPr>
        <w:t>坚持稳中求进总基调，坚持居中靠上总取向，以“稳基础、稳客户、稳队伍、稳形象、稳收入增长”为前提，以“开发一批重点客户、建设一批特色品牌、培养一批优秀人才、打造一批经营大所”为抓手，集中力量、集聚资源，壮大主业、培优队伍，做大总量、提高质量，立足西部、面向全国，奋力开创全省税务师行业高质量发展新局面</w:t>
      </w:r>
      <w:r>
        <w:rPr>
          <w:rFonts w:hint="eastAsia" w:ascii="仿宋_GB2312"/>
          <w:szCs w:val="32"/>
        </w:rPr>
        <w:t>。</w:t>
      </w:r>
    </w:p>
    <w:p>
      <w:pPr>
        <w:spacing w:line="570" w:lineRule="exact"/>
        <w:ind w:firstLine="643" w:firstLineChars="200"/>
        <w:rPr>
          <w:rFonts w:ascii="仿宋_GB2312"/>
          <w:szCs w:val="32"/>
        </w:rPr>
      </w:pPr>
      <w:r>
        <w:rPr>
          <w:rFonts w:hint="eastAsia" w:ascii="楷体_GB2312" w:eastAsia="楷体_GB2312"/>
          <w:b/>
          <w:szCs w:val="32"/>
        </w:rPr>
        <w:t>（二）基本原则</w:t>
      </w:r>
      <w:r>
        <w:rPr>
          <w:rFonts w:hint="eastAsia" w:ascii="仿宋_GB2312"/>
          <w:szCs w:val="32"/>
        </w:rPr>
        <w:t>。坚持党的领导，建立健全全省税务师事务所党组织，实现党的组织全面覆盖，把党建工作融入行业高质量发展的全过程，在深度融合中引领行业高质量发展。坚持依法执业，严格遵循国家税收法律法规政策，切实提高纳税人、缴费人税法遵从度和满意度。坚持依法诚信服务，依靠专业能力和优质服务争取客户、扩大业务、开发市场，打造行业知名品牌。</w:t>
      </w:r>
    </w:p>
    <w:p>
      <w:pPr>
        <w:spacing w:line="570" w:lineRule="exact"/>
        <w:ind w:firstLine="643" w:firstLineChars="200"/>
        <w:rPr>
          <w:rFonts w:ascii="仿宋_GB2312"/>
          <w:szCs w:val="32"/>
        </w:rPr>
      </w:pPr>
      <w:r>
        <w:rPr>
          <w:rFonts w:hint="eastAsia" w:ascii="楷体_GB2312" w:eastAsia="楷体_GB2312"/>
          <w:b/>
          <w:szCs w:val="32"/>
        </w:rPr>
        <w:t>（三）奋斗目标</w:t>
      </w:r>
      <w:r>
        <w:rPr>
          <w:rFonts w:hint="eastAsia" w:ascii="仿宋_GB2312"/>
          <w:szCs w:val="32"/>
        </w:rPr>
        <w:t>。到2024年，力争把全省税务师行业建设成为全国一流的涉税专业服务行业。①行业党建和统战工作在全国同行业中居中靠上；②行业经营收入持续稳定增长，增幅与全省GDP增速基本保持一致；③行业税务师人才数量稳中有增、质量稳中有进；④全省4A以上等级税务师事务所数量稳中有增，收入规模上亿元的税务师事务所实现零的突破；⑤打造有特色、有品牌、有影响力的示范性税务师事务所，取得实质性成效；⑥保持行业良好形象，不发生区域性、系统性和重大不良事件。</w:t>
      </w:r>
    </w:p>
    <w:p>
      <w:pPr>
        <w:spacing w:line="570" w:lineRule="exact"/>
        <w:ind w:firstLine="640" w:firstLineChars="200"/>
        <w:rPr>
          <w:rFonts w:ascii="黑体" w:hAnsi="黑体" w:eastAsia="黑体"/>
          <w:szCs w:val="32"/>
        </w:rPr>
      </w:pPr>
      <w:r>
        <w:rPr>
          <w:rFonts w:hint="eastAsia" w:ascii="黑体" w:hAnsi="黑体" w:eastAsia="黑体"/>
          <w:szCs w:val="32"/>
        </w:rPr>
        <w:t>三、重点任务</w:t>
      </w:r>
    </w:p>
    <w:p>
      <w:pPr>
        <w:spacing w:line="570" w:lineRule="exact"/>
        <w:ind w:firstLine="643" w:firstLineChars="200"/>
        <w:rPr>
          <w:rFonts w:ascii="楷体_GB2312" w:eastAsia="楷体_GB2312"/>
          <w:b/>
          <w:szCs w:val="32"/>
        </w:rPr>
      </w:pPr>
      <w:r>
        <w:rPr>
          <w:rFonts w:hint="eastAsia" w:ascii="楷体_GB2312" w:eastAsia="楷体_GB2312"/>
          <w:b/>
          <w:szCs w:val="32"/>
        </w:rPr>
        <w:t>（一）加强行业党的建设</w:t>
      </w:r>
    </w:p>
    <w:p>
      <w:pPr>
        <w:spacing w:line="570" w:lineRule="exact"/>
        <w:ind w:firstLine="643" w:firstLineChars="200"/>
        <w:rPr>
          <w:rFonts w:ascii="仿宋_GB2312"/>
          <w:szCs w:val="32"/>
        </w:rPr>
      </w:pPr>
      <w:r>
        <w:rPr>
          <w:rFonts w:hint="eastAsia" w:ascii="仿宋_GB2312"/>
          <w:b/>
          <w:szCs w:val="32"/>
        </w:rPr>
        <w:t>1.加强基层组织建设</w:t>
      </w:r>
      <w:r>
        <w:rPr>
          <w:rFonts w:hint="eastAsia" w:ascii="仿宋_GB2312"/>
          <w:szCs w:val="32"/>
        </w:rPr>
        <w:t>。进一步完善行业党建“条块结合、条走在前”的管理体制，推动建立“省税务局党委领导管理、行业党委负责主抓，市县税务局党委指导、税务师事务所党支部负主责”的“四位一体”联动互动党建工作机制。建立健全党组织体系，有正式党员3人以上的税务师事务所都要单独建立党组织，正式党员不足3人的可就近与其他税务师事务所或社会组织联合建立党支部。多措并举选派行业党建工作指导员。行业内从业的党员党组织关系，原则上应转入行业党委。实现党的组织和党的工作在全行业全面有效覆盖。认真落实党建工作责任，压实主体主责，建立行业党委党建工作联系点，推进税务师事务所党支部标准化、规范化建设，建强党支部战斗堡垒，更好地发挥基层党组织在行业高质量发展中的政治和组织保障作用。</w:t>
      </w:r>
    </w:p>
    <w:p>
      <w:pPr>
        <w:spacing w:line="570" w:lineRule="exact"/>
        <w:ind w:firstLine="643" w:firstLineChars="200"/>
        <w:rPr>
          <w:rFonts w:ascii="仿宋_GB2312"/>
          <w:szCs w:val="32"/>
        </w:rPr>
      </w:pPr>
      <w:r>
        <w:rPr>
          <w:rFonts w:hint="eastAsia" w:ascii="仿宋_GB2312"/>
          <w:b/>
          <w:szCs w:val="32"/>
        </w:rPr>
        <w:t>2.加强党员队伍建设</w:t>
      </w:r>
      <w:r>
        <w:rPr>
          <w:rFonts w:hint="eastAsia" w:ascii="仿宋_GB2312"/>
          <w:szCs w:val="32"/>
        </w:rPr>
        <w:t>。选好配强党支部书记，着力培养政治忠诚、工作创新、奉献事业的党支部书记。大力实施“双培”工程，加大在党建工作相对薄弱和无党员的税务师事务所发展党员的工作力度，注重从优秀合伙人、业务骨干和青年从业人员中培养入党积极分子和发展党员，力争5年内无党员的税务师事务所都要培养至少一名党员。建立党支部书记向行业党委和所在支部党员大会述职制度，报告年度履职党建工作情况。建立党支部书记参与税务师事务所重大行政业务事务决策制度和党支部重大党建活动邀请税务师事务所所长参加的机制，做到双向融合、双方互动。要创新组织活动方式，开展创先争优活动，把党的组织活动融入执业全过程。建立经费保障制度，保证党组织和党员正常开展党建活动。</w:t>
      </w:r>
    </w:p>
    <w:p>
      <w:pPr>
        <w:spacing w:line="570" w:lineRule="exact"/>
        <w:ind w:firstLine="643" w:firstLineChars="200"/>
        <w:rPr>
          <w:rFonts w:ascii="仿宋_GB2312"/>
          <w:szCs w:val="32"/>
        </w:rPr>
      </w:pPr>
      <w:r>
        <w:rPr>
          <w:rFonts w:hint="eastAsia" w:ascii="仿宋_GB2312"/>
          <w:b/>
          <w:bCs/>
          <w:szCs w:val="32"/>
        </w:rPr>
        <w:t>3.加强行业统战工作</w:t>
      </w:r>
      <w:r>
        <w:rPr>
          <w:rFonts w:hint="eastAsia" w:ascii="仿宋_GB2312"/>
          <w:szCs w:val="32"/>
        </w:rPr>
        <w:t>。认真做好行业代表人士的发现、培养和使用工作，推进行业代表人士梯队建设。扎实做好行业新的社会阶层人士统战工作，充分利用“两代表一委员”等平台，积极推荐行业代表人士进入各级人大、政协等组织，努力增加代表人士在社会组织和政府组织中的任职、挂职数量，全力支持代表人士参政议政、建言献策，不断提升行业话语权和影响力。加强同心注税组织和注税新联会建设，支持参与税制征管改革、脱贫攻坚、公益服务和减税降费等重大工作，履行社会责任，做到与党同心同德、同心同向、同心同行，凝聚人心、汇聚力量，塑造良好行业形象。</w:t>
      </w:r>
    </w:p>
    <w:p>
      <w:pPr>
        <w:spacing w:line="570" w:lineRule="exact"/>
        <w:ind w:firstLine="643" w:firstLineChars="200"/>
        <w:rPr>
          <w:rFonts w:ascii="楷体_GB2312" w:eastAsia="楷体_GB2312"/>
          <w:b/>
          <w:szCs w:val="32"/>
        </w:rPr>
      </w:pPr>
      <w:r>
        <w:rPr>
          <w:rFonts w:hint="eastAsia" w:ascii="楷体_GB2312" w:eastAsia="楷体_GB2312"/>
          <w:b/>
          <w:szCs w:val="32"/>
        </w:rPr>
        <w:t>（二）推动行业地方立法</w:t>
      </w:r>
    </w:p>
    <w:p>
      <w:pPr>
        <w:spacing w:line="570" w:lineRule="exact"/>
        <w:ind w:firstLine="640" w:firstLineChars="200"/>
        <w:rPr>
          <w:rFonts w:ascii="仿宋_GB2312"/>
          <w:szCs w:val="32"/>
        </w:rPr>
      </w:pPr>
      <w:r>
        <w:rPr>
          <w:rFonts w:hint="eastAsia" w:ascii="仿宋_GB2312"/>
          <w:szCs w:val="32"/>
        </w:rPr>
        <w:t>积极做好推动行业地方立法相关工作，加强与省人大法制工作委员会、省税务局等相关部门的沟通汇报，大力推进全省税务师行业的立法进程，争取省人大出台《四川省税务师管理条例》，明确全省税务师、税务师事务所、行业协会的法律地位。扎实做好行业自律制度建设工作，认真落实《涉税专业服务监管办法（试行）》要求，建立完善执业自律公约、执业质量监督、执业过失惩戒、执业风险防范等制度，促进税务师事务所加强内部治理，规范业务运作，提高执业管理水平。</w:t>
      </w:r>
    </w:p>
    <w:p>
      <w:pPr>
        <w:spacing w:line="570" w:lineRule="exact"/>
        <w:ind w:firstLine="643" w:firstLineChars="200"/>
        <w:rPr>
          <w:rFonts w:ascii="楷体_GB2312" w:eastAsia="楷体_GB2312"/>
          <w:b/>
          <w:szCs w:val="32"/>
        </w:rPr>
      </w:pPr>
      <w:r>
        <w:rPr>
          <w:rFonts w:hint="eastAsia" w:ascii="楷体_GB2312" w:eastAsia="楷体_GB2312"/>
          <w:b/>
          <w:szCs w:val="32"/>
        </w:rPr>
        <w:t>（三）建立三方沟通新机制</w:t>
      </w:r>
    </w:p>
    <w:p>
      <w:pPr>
        <w:spacing w:line="570" w:lineRule="exact"/>
        <w:ind w:firstLine="643" w:firstLineChars="200"/>
        <w:rPr>
          <w:rFonts w:ascii="仿宋_GB2312"/>
          <w:szCs w:val="32"/>
        </w:rPr>
      </w:pPr>
      <w:r>
        <w:rPr>
          <w:rFonts w:hint="eastAsia" w:ascii="仿宋_GB2312"/>
          <w:b/>
          <w:bCs/>
          <w:szCs w:val="32"/>
        </w:rPr>
        <w:t>1.加强制度保障</w:t>
      </w:r>
      <w:r>
        <w:rPr>
          <w:rFonts w:hint="eastAsia" w:ascii="仿宋_GB2312"/>
          <w:szCs w:val="32"/>
        </w:rPr>
        <w:t>。建立完善税务机关、省税务师协会、涉税专业服务机构三方沟通机制，明确沟通方式、丰富沟通内容，建立沟通制度，推动税务局党委和行政支持行业党的建设、支持行业依法执业制度化、常态化、长效化。</w:t>
      </w:r>
    </w:p>
    <w:p>
      <w:pPr>
        <w:spacing w:line="570" w:lineRule="exact"/>
        <w:ind w:firstLine="643" w:firstLineChars="200"/>
        <w:rPr>
          <w:rFonts w:ascii="仿宋_GB2312"/>
          <w:szCs w:val="32"/>
        </w:rPr>
      </w:pPr>
      <w:r>
        <w:rPr>
          <w:rFonts w:hint="eastAsia" w:ascii="仿宋_GB2312"/>
          <w:b/>
          <w:bCs/>
          <w:szCs w:val="32"/>
        </w:rPr>
        <w:t>2.加强渠道建设</w:t>
      </w:r>
      <w:r>
        <w:rPr>
          <w:rFonts w:hint="eastAsia" w:ascii="仿宋_GB2312"/>
          <w:szCs w:val="32"/>
        </w:rPr>
        <w:t>。建立以协会为中心的双向多边互动沟通平台，协会统一向省税务局反馈涉税专业服务机构的意见建议，统一向涉税专业服务机构传递省税务局最新政策信息和管理措施等内容，提高三方沟通质量和效率，形成有利于税务机关执法、有利于税务师事务所发展、有利于纳税人税法遵从的多方共赢局面。</w:t>
      </w:r>
    </w:p>
    <w:p>
      <w:pPr>
        <w:spacing w:line="570" w:lineRule="exact"/>
        <w:ind w:firstLine="643" w:firstLineChars="200"/>
        <w:rPr>
          <w:rFonts w:ascii="仿宋_GB2312"/>
          <w:szCs w:val="32"/>
        </w:rPr>
      </w:pPr>
      <w:r>
        <w:rPr>
          <w:rFonts w:hint="eastAsia" w:ascii="仿宋_GB2312"/>
          <w:b/>
          <w:bCs/>
          <w:szCs w:val="32"/>
        </w:rPr>
        <w:t>3.加强联系合作</w:t>
      </w:r>
      <w:r>
        <w:rPr>
          <w:rFonts w:hint="eastAsia" w:ascii="仿宋_GB2312"/>
          <w:szCs w:val="32"/>
        </w:rPr>
        <w:t>。发挥协会和税务师事务所的专业优势，加强税法宣传，服务税制和征管改革，参与12366服务热线答疑等工作。积极推动政府购买涉税专业服务工作落实，通过政府采购、有偿或无偿合作等形式，在面向社会和市场的税收课题研究、创新纳税服务方式、加强税收征管等方面与各级税务机关通力合作，在审计、清算、咨询等业务上与各级政府部门广泛合作。</w:t>
      </w:r>
    </w:p>
    <w:p>
      <w:pPr>
        <w:spacing w:line="570" w:lineRule="exact"/>
        <w:ind w:firstLine="643" w:firstLineChars="200"/>
        <w:rPr>
          <w:rFonts w:ascii="楷体_GB2312" w:eastAsia="楷体_GB2312"/>
          <w:b/>
          <w:szCs w:val="32"/>
        </w:rPr>
      </w:pPr>
      <w:r>
        <w:rPr>
          <w:rFonts w:hint="eastAsia" w:ascii="楷体_GB2312" w:eastAsia="楷体_GB2312"/>
          <w:b/>
          <w:szCs w:val="32"/>
        </w:rPr>
        <w:t>（四）推进行业高质量发展</w:t>
      </w:r>
    </w:p>
    <w:p>
      <w:pPr>
        <w:spacing w:line="570" w:lineRule="exact"/>
        <w:ind w:firstLine="643" w:firstLineChars="200"/>
        <w:rPr>
          <w:rFonts w:ascii="仿宋_GB2312"/>
          <w:szCs w:val="32"/>
        </w:rPr>
      </w:pPr>
      <w:r>
        <w:rPr>
          <w:rFonts w:hint="eastAsia" w:ascii="仿宋_GB2312"/>
          <w:b/>
          <w:bCs/>
          <w:szCs w:val="32"/>
        </w:rPr>
        <w:t>1.加快行业转型升级</w:t>
      </w:r>
      <w:r>
        <w:rPr>
          <w:rFonts w:hint="eastAsia" w:ascii="仿宋_GB2312"/>
          <w:szCs w:val="32"/>
        </w:rPr>
        <w:t>。加强涉税服务供给侧结构改革，大力发展高端涉税服务，增强有效供给需求，解决好发展不平衡不充分的矛盾。紧紧抓住“放管服”改革、税制改革和征管改革的有利契机，努力开拓涉税服务专业市场。既要抓好传统涉税服务项目，更要向专业税收顾问、税收策划、税收风险防范、纳税情况审查、政府购买公共服务产品等涉税服务领域发展。坚持依法依规、诚信优质服务，既要维护好国家利益，又要维护好纳税人、缴费人合法权益，切实提高涉税专业服务能力水平。</w:t>
      </w:r>
    </w:p>
    <w:p>
      <w:pPr>
        <w:spacing w:line="570" w:lineRule="exact"/>
        <w:ind w:firstLine="643" w:firstLineChars="200"/>
        <w:rPr>
          <w:rFonts w:ascii="仿宋_GB2312"/>
          <w:szCs w:val="32"/>
        </w:rPr>
      </w:pPr>
      <w:r>
        <w:rPr>
          <w:rFonts w:hint="eastAsia" w:ascii="仿宋_GB2312"/>
          <w:b/>
          <w:bCs/>
          <w:szCs w:val="32"/>
        </w:rPr>
        <w:t>2.优化行业结构布局</w:t>
      </w:r>
      <w:r>
        <w:rPr>
          <w:rFonts w:hint="eastAsia" w:ascii="仿宋_GB2312"/>
          <w:szCs w:val="32"/>
        </w:rPr>
        <w:t>。引导小型税务师事务所根据自身条件、找准市场定位，把业务做好做精；支持中型税务师事务所创新服务方式，提高服务手段，挖掘市场需求，把业务做专做优；鼓励大型税务师事务所创新发展模式、创建服务标准，把业务做大做强，形成小而精、中而优、大而强，内部结构优化、区域分布合理、品牌特色明显的税务师行业涉税专业服务机构新格局。</w:t>
      </w:r>
    </w:p>
    <w:p>
      <w:pPr>
        <w:spacing w:line="570" w:lineRule="exact"/>
        <w:ind w:firstLine="643" w:firstLineChars="200"/>
        <w:rPr>
          <w:rFonts w:ascii="仿宋_GB2312"/>
          <w:szCs w:val="32"/>
        </w:rPr>
      </w:pPr>
      <w:r>
        <w:rPr>
          <w:rFonts w:hint="eastAsia" w:ascii="仿宋_GB2312"/>
          <w:b/>
          <w:bCs/>
          <w:szCs w:val="32"/>
        </w:rPr>
        <w:t>3.打造行业“航空母舰”</w:t>
      </w:r>
      <w:r>
        <w:rPr>
          <w:rFonts w:hint="eastAsia" w:ascii="仿宋_GB2312"/>
          <w:szCs w:val="32"/>
        </w:rPr>
        <w:t>。积极推动税务师事务所提高专业能力和优质服务水平，培育出1-2个收入规模上亿元、发展路径具有创新性、经营模式具有可复制性、内部治理具有现代化特征的行业“航空母舰”，并跨入5A级税务师事务所行列，4A级税务师事务所数量稳中有增。</w:t>
      </w:r>
    </w:p>
    <w:p>
      <w:pPr>
        <w:spacing w:line="570" w:lineRule="exact"/>
        <w:ind w:firstLine="643" w:firstLineChars="200"/>
        <w:rPr>
          <w:rFonts w:ascii="仿宋_GB2312"/>
          <w:szCs w:val="32"/>
        </w:rPr>
      </w:pPr>
      <w:r>
        <w:rPr>
          <w:rFonts w:hint="eastAsia" w:ascii="仿宋_GB2312"/>
          <w:b/>
          <w:bCs/>
          <w:szCs w:val="32"/>
        </w:rPr>
        <w:t>4.打造行业知名品牌</w:t>
      </w:r>
      <w:r>
        <w:rPr>
          <w:rFonts w:hint="eastAsia" w:ascii="仿宋_GB2312"/>
          <w:szCs w:val="32"/>
        </w:rPr>
        <w:t>。支持税务师事务所特色化发展，建立行业专业化服务品牌。全力扶持一批能够提供优质服务、具备自主项目品牌和较强社会影响力的税务师事务所，着力打造西部、国内、国际涉税专业服务知名品牌。</w:t>
      </w:r>
    </w:p>
    <w:p>
      <w:pPr>
        <w:spacing w:line="570" w:lineRule="exact"/>
        <w:ind w:firstLine="643" w:firstLineChars="200"/>
        <w:rPr>
          <w:rFonts w:ascii="楷体_GB2312" w:eastAsia="楷体_GB2312"/>
          <w:b/>
          <w:szCs w:val="32"/>
        </w:rPr>
      </w:pPr>
      <w:r>
        <w:rPr>
          <w:rFonts w:hint="eastAsia" w:ascii="楷体_GB2312" w:eastAsia="楷体_GB2312"/>
          <w:b/>
          <w:szCs w:val="32"/>
        </w:rPr>
        <w:t>（五）推动建立涉税专业服务协作机制</w:t>
      </w:r>
    </w:p>
    <w:p>
      <w:pPr>
        <w:spacing w:line="570" w:lineRule="exact"/>
        <w:ind w:firstLine="643" w:firstLineChars="200"/>
        <w:rPr>
          <w:rFonts w:ascii="仿宋_GB2312"/>
          <w:szCs w:val="32"/>
        </w:rPr>
      </w:pPr>
      <w:r>
        <w:rPr>
          <w:rFonts w:hint="eastAsia" w:ascii="仿宋_GB2312"/>
          <w:b/>
          <w:bCs/>
          <w:szCs w:val="32"/>
        </w:rPr>
        <w:t>1.建立定期交流制度</w:t>
      </w:r>
      <w:r>
        <w:rPr>
          <w:rFonts w:hint="eastAsia" w:ascii="仿宋_GB2312"/>
          <w:szCs w:val="32"/>
        </w:rPr>
        <w:t>。支持有条件的税务师事务所创办涉税专业服务研究院（所）。积极开展与西部省（区、市）税务师协会的交流合作，建立定期协作交流机制。举办涉税专业服务协作交流论坛、座谈会、研讨会，交流先进理念、政策制度、方法措施和经验做法。</w:t>
      </w:r>
    </w:p>
    <w:p>
      <w:pPr>
        <w:spacing w:line="570" w:lineRule="exact"/>
        <w:ind w:firstLine="643" w:firstLineChars="200"/>
        <w:rPr>
          <w:rFonts w:ascii="仿宋_GB2312"/>
          <w:szCs w:val="32"/>
        </w:rPr>
      </w:pPr>
      <w:r>
        <w:rPr>
          <w:rFonts w:hint="eastAsia" w:ascii="仿宋_GB2312"/>
          <w:b/>
          <w:bCs/>
          <w:szCs w:val="32"/>
        </w:rPr>
        <w:t>2.建立市场合作制度</w:t>
      </w:r>
      <w:r>
        <w:rPr>
          <w:rFonts w:hint="eastAsia" w:ascii="仿宋_GB2312"/>
          <w:szCs w:val="32"/>
        </w:rPr>
        <w:t>。依托行业协会跨区域交流平台，加强省内和跨省区域涉税专业服务机构地区间合作，规范行业内部执业标准和市场竞争秩序，积极拓宽市场范围，开发一批重要客户资源，更好地服务跨省经营的集团大客户，更好地服务国家西部大开发战略。</w:t>
      </w:r>
    </w:p>
    <w:p>
      <w:pPr>
        <w:spacing w:line="570" w:lineRule="exact"/>
        <w:ind w:firstLine="643" w:firstLineChars="200"/>
        <w:rPr>
          <w:rFonts w:ascii="仿宋_GB2312"/>
          <w:szCs w:val="32"/>
        </w:rPr>
      </w:pPr>
      <w:r>
        <w:rPr>
          <w:rFonts w:hint="eastAsia" w:ascii="仿宋_GB2312"/>
          <w:b/>
          <w:bCs/>
          <w:szCs w:val="32"/>
        </w:rPr>
        <w:t>3.建立国际合作制度</w:t>
      </w:r>
      <w:r>
        <w:rPr>
          <w:rFonts w:hint="eastAsia" w:ascii="仿宋_GB2312"/>
          <w:szCs w:val="32"/>
        </w:rPr>
        <w:t>。推动西部地区建立“一带一路”涉税专业服务合作机制，引导有条件的税务师事务所加快国际化建设步伐。加强与“四大”和国际涉税专业服务机构的合作，学习运用国际规则，培养锻炼国际涉税人才队伍，积极参与跨国公司涉税专业服务，探索为“走出去”企业和“一带一路”沿线企业服务的新领域，促进全省税务师行业涉税专业服务参与国际竞争。</w:t>
      </w:r>
    </w:p>
    <w:p>
      <w:pPr>
        <w:spacing w:line="570" w:lineRule="exact"/>
        <w:ind w:firstLine="643" w:firstLineChars="200"/>
        <w:rPr>
          <w:rFonts w:ascii="楷体_GB2312" w:eastAsia="楷体_GB2312"/>
          <w:b/>
          <w:szCs w:val="32"/>
        </w:rPr>
      </w:pPr>
      <w:r>
        <w:rPr>
          <w:rFonts w:hint="eastAsia" w:ascii="楷体_GB2312" w:eastAsia="楷体_GB2312"/>
          <w:b/>
          <w:szCs w:val="32"/>
        </w:rPr>
        <w:t>（六）加强专业人才队伍建设</w:t>
      </w:r>
    </w:p>
    <w:p>
      <w:pPr>
        <w:spacing w:line="570" w:lineRule="exact"/>
        <w:ind w:firstLine="643" w:firstLineChars="200"/>
        <w:rPr>
          <w:rFonts w:ascii="仿宋_GB2312"/>
          <w:szCs w:val="32"/>
        </w:rPr>
      </w:pPr>
      <w:r>
        <w:rPr>
          <w:rFonts w:hint="eastAsia" w:ascii="仿宋_GB2312"/>
          <w:b/>
          <w:bCs/>
          <w:szCs w:val="32"/>
        </w:rPr>
        <w:t>1.建立人才培训体制机制</w:t>
      </w:r>
      <w:r>
        <w:rPr>
          <w:rFonts w:hint="eastAsia" w:ascii="仿宋_GB2312"/>
          <w:szCs w:val="32"/>
        </w:rPr>
        <w:t>。要把人才建设放在更加重要的位子，优先抓、突出抓、重点抓、持续抓。建立院校、行业协会、事务所三方联合培训机制，支持联合创办税务师专业学院，形成规范高效的行业人才教育培训体系。认真抓好全省税务师考前培训、税务师继续教育和从业人员职业教育，增强全省税务师行业涉税专业服务人才培养的科学性、针对性，有计划、有步骤、有梯次地培养专业人才。</w:t>
      </w:r>
    </w:p>
    <w:p>
      <w:pPr>
        <w:spacing w:line="570" w:lineRule="exact"/>
        <w:ind w:firstLine="643" w:firstLineChars="200"/>
        <w:rPr>
          <w:rFonts w:ascii="仿宋_GB2312"/>
          <w:szCs w:val="32"/>
        </w:rPr>
      </w:pPr>
      <w:r>
        <w:rPr>
          <w:rFonts w:hint="eastAsia" w:ascii="仿宋_GB2312"/>
          <w:b/>
          <w:bCs/>
          <w:szCs w:val="32"/>
        </w:rPr>
        <w:t>2.抓好高端人才队伍建设</w:t>
      </w:r>
      <w:r>
        <w:rPr>
          <w:rFonts w:hint="eastAsia" w:ascii="仿宋_GB2312"/>
          <w:szCs w:val="32"/>
        </w:rPr>
        <w:t>。继续加强与省内外高校的联系合作，建立人才培训基地。重点加强领军人才、骨干人才、文秘人才、管理人才等的培养，努力锻造一批权威型、专家型、领军型高端人才。</w:t>
      </w:r>
    </w:p>
    <w:p>
      <w:pPr>
        <w:spacing w:line="570" w:lineRule="exact"/>
        <w:ind w:firstLine="643" w:firstLineChars="200"/>
        <w:rPr>
          <w:rFonts w:ascii="楷体_GB2312" w:eastAsia="楷体_GB2312"/>
          <w:b/>
          <w:szCs w:val="32"/>
        </w:rPr>
      </w:pPr>
      <w:r>
        <w:rPr>
          <w:rFonts w:hint="eastAsia" w:ascii="楷体_GB2312" w:eastAsia="楷体_GB2312"/>
          <w:b/>
          <w:szCs w:val="32"/>
        </w:rPr>
        <w:t>（七）推动行业文化品牌建设</w:t>
      </w:r>
    </w:p>
    <w:p>
      <w:pPr>
        <w:spacing w:line="570" w:lineRule="exact"/>
        <w:ind w:firstLine="643" w:firstLineChars="200"/>
        <w:rPr>
          <w:rFonts w:ascii="仿宋_GB2312"/>
          <w:szCs w:val="32"/>
        </w:rPr>
      </w:pPr>
      <w:r>
        <w:rPr>
          <w:rFonts w:hint="eastAsia" w:ascii="仿宋_GB2312"/>
          <w:b/>
          <w:bCs/>
          <w:szCs w:val="32"/>
        </w:rPr>
        <w:t>1.突出抓好“同·合”文化建设</w:t>
      </w:r>
      <w:r>
        <w:rPr>
          <w:rFonts w:hint="eastAsia" w:ascii="仿宋_GB2312"/>
          <w:szCs w:val="32"/>
        </w:rPr>
        <w:t>。强化职业认同、事业认同、行业认同的共同意识，强化统合理念、整合资源、联合发展的合作意识，让“同·合”文化入脑入心，引导行业形成职业共同体、事业共同体、命运共同体，同舟共济，共创未来。</w:t>
      </w:r>
    </w:p>
    <w:p>
      <w:pPr>
        <w:spacing w:line="570" w:lineRule="exact"/>
        <w:ind w:firstLine="643" w:firstLineChars="200"/>
        <w:rPr>
          <w:rFonts w:ascii="仿宋_GB2312"/>
          <w:szCs w:val="32"/>
        </w:rPr>
      </w:pPr>
      <w:r>
        <w:rPr>
          <w:rFonts w:hint="eastAsia" w:ascii="仿宋_GB2312"/>
          <w:b/>
          <w:bCs/>
          <w:szCs w:val="32"/>
        </w:rPr>
        <w:t>2.突出抓好同心文化建设</w:t>
      </w:r>
      <w:r>
        <w:rPr>
          <w:rFonts w:hint="eastAsia" w:ascii="仿宋_GB2312"/>
          <w:szCs w:val="32"/>
        </w:rPr>
        <w:t>。认真总结经验做法，提炼同心注税服务（注税新联会）的精神内涵，把同心注税服务打造成为行业文化品牌，不断丰富内容、项目，创新方式方法，培塑一批同心注税服务先进典型，加大品牌宣传力度，发挥带头示范作用，提升“同心”注税服务品牌的知名度、美誉度、影响力。</w:t>
      </w:r>
    </w:p>
    <w:p>
      <w:pPr>
        <w:spacing w:line="570" w:lineRule="exact"/>
        <w:ind w:firstLine="643" w:firstLineChars="200"/>
        <w:rPr>
          <w:rFonts w:ascii="仿宋_GB2312"/>
          <w:szCs w:val="32"/>
        </w:rPr>
      </w:pPr>
      <w:r>
        <w:rPr>
          <w:rFonts w:hint="eastAsia" w:ascii="仿宋_GB2312"/>
          <w:b/>
          <w:bCs/>
          <w:szCs w:val="32"/>
        </w:rPr>
        <w:t>3.突出抓好诚信文化建设</w:t>
      </w:r>
      <w:r>
        <w:rPr>
          <w:rFonts w:hint="eastAsia" w:ascii="仿宋_GB2312"/>
          <w:szCs w:val="32"/>
        </w:rPr>
        <w:t>。建立以职业道德准则为核心、以信息化现代技术为手段，以相关制度机制为保障，以行业核心价值观为引导，以行业党建为政治保障的全省税务师行业诚信体系，积极探索激励诚信、抑制失信的行业诚信建设机制制度，切实把诚信建设贯穿到行业发展各个方面,营造良好的执业环境。</w:t>
      </w:r>
    </w:p>
    <w:p>
      <w:pPr>
        <w:spacing w:line="570" w:lineRule="exact"/>
        <w:ind w:firstLine="643" w:firstLineChars="200"/>
        <w:rPr>
          <w:rFonts w:ascii="楷体_GB2312" w:eastAsia="楷体_GB2312"/>
          <w:b/>
          <w:szCs w:val="32"/>
        </w:rPr>
      </w:pPr>
      <w:r>
        <w:rPr>
          <w:rFonts w:hint="eastAsia" w:ascii="楷体_GB2312" w:eastAsia="楷体_GB2312"/>
          <w:b/>
          <w:szCs w:val="32"/>
        </w:rPr>
        <w:t>（八）加快行业信息化发展</w:t>
      </w:r>
    </w:p>
    <w:p>
      <w:pPr>
        <w:spacing w:line="570" w:lineRule="exact"/>
        <w:ind w:firstLine="640" w:firstLineChars="200"/>
        <w:rPr>
          <w:rFonts w:ascii="仿宋_GB2312"/>
          <w:szCs w:val="32"/>
        </w:rPr>
      </w:pPr>
      <w:r>
        <w:rPr>
          <w:rFonts w:hint="eastAsia" w:ascii="仿宋_GB2312"/>
          <w:szCs w:val="32"/>
        </w:rPr>
        <w:t>支持建设涉税税收专业服务智能应用服务平台,充分发挥“互联网＋”涉税专业服务的作用，推动行业数字化、智能化的转型。支持有条件的税务师事务所进行“T+IT+资本”模式的探索和组织形式的创新，运用区块链、云计算、大数据等现代信息技术为行业高质量发展注入强大动能。在门户网、微信等基础上，大力发展APP等移动端信息化建设，提升行业管理服务的移动智能化水平，充分发挥信息化对行业高质量发展的支撑和促进作用。</w:t>
      </w:r>
    </w:p>
    <w:p>
      <w:pPr>
        <w:spacing w:line="570" w:lineRule="exact"/>
        <w:ind w:firstLine="643" w:firstLineChars="200"/>
        <w:rPr>
          <w:rFonts w:ascii="楷体_GB2312" w:eastAsia="楷体_GB2312"/>
          <w:b/>
          <w:szCs w:val="32"/>
        </w:rPr>
      </w:pPr>
      <w:r>
        <w:rPr>
          <w:rFonts w:hint="eastAsia" w:ascii="楷体_GB2312" w:eastAsia="楷体_GB2312"/>
          <w:b/>
          <w:szCs w:val="32"/>
        </w:rPr>
        <w:t>（九）创新协会体制机制</w:t>
      </w:r>
    </w:p>
    <w:p>
      <w:pPr>
        <w:spacing w:line="570" w:lineRule="exact"/>
        <w:ind w:firstLine="640" w:firstLineChars="200"/>
        <w:rPr>
          <w:rFonts w:ascii="仿宋_GB2312"/>
          <w:szCs w:val="32"/>
        </w:rPr>
      </w:pPr>
      <w:r>
        <w:rPr>
          <w:rFonts w:hint="eastAsia" w:ascii="仿宋_GB2312"/>
          <w:szCs w:val="32"/>
        </w:rPr>
        <w:t>创新协会工作运行机制。设立省协会市州工作联络处，加强市县税务局与涉税专业服务机构的沟通协调，更好地发挥协会管理服务职能。设立行业专业委员会，加强涉税专业服务重大政策业务的研究和指导。推进成立行业协会税务代理人分会，加强涉税专业服务机构的统一管理，规范行业行为。</w:t>
      </w:r>
    </w:p>
    <w:p>
      <w:pPr>
        <w:spacing w:line="570" w:lineRule="exact"/>
        <w:ind w:firstLine="640" w:firstLineChars="200"/>
        <w:rPr>
          <w:rFonts w:ascii="黑体" w:hAnsi="黑体" w:eastAsia="黑体" w:cs="黑体"/>
          <w:szCs w:val="32"/>
        </w:rPr>
      </w:pPr>
      <w:r>
        <w:rPr>
          <w:rFonts w:hint="eastAsia" w:ascii="黑体" w:hAnsi="黑体" w:eastAsia="黑体" w:cs="黑体"/>
          <w:szCs w:val="32"/>
        </w:rPr>
        <w:t>四、工作要求</w:t>
      </w:r>
    </w:p>
    <w:p>
      <w:pPr>
        <w:spacing w:line="570" w:lineRule="exact"/>
        <w:ind w:firstLine="643" w:firstLineChars="200"/>
        <w:rPr>
          <w:rFonts w:ascii="楷体_GB2312" w:hAnsi="楷体_GB2312" w:eastAsia="楷体_GB2312" w:cs="楷体_GB2312"/>
          <w:b/>
          <w:bCs/>
          <w:szCs w:val="32"/>
        </w:rPr>
      </w:pPr>
      <w:r>
        <w:rPr>
          <w:rFonts w:hint="eastAsia" w:ascii="楷体_GB2312" w:hAnsi="楷体_GB2312" w:eastAsia="楷体_GB2312" w:cs="楷体_GB2312"/>
          <w:b/>
          <w:bCs/>
          <w:szCs w:val="32"/>
        </w:rPr>
        <w:t>（一）强化组织领导</w:t>
      </w:r>
      <w:r>
        <w:rPr>
          <w:rFonts w:hint="eastAsia" w:ascii="仿宋_GB2312"/>
          <w:szCs w:val="32"/>
        </w:rPr>
        <w:t>。各党支部和税务师事务所要高度重视，把推进行业高质量发展工作列入重要日程，精心组织，精心实施。“一把手”要亲自抓高质量发展工作，分阶段、分步骤、有计划推进高质量发展目标的实现。</w:t>
      </w:r>
    </w:p>
    <w:p>
      <w:pPr>
        <w:spacing w:line="570" w:lineRule="exact"/>
        <w:ind w:firstLine="643" w:firstLineChars="200"/>
        <w:rPr>
          <w:rFonts w:ascii="仿宋_GB2312"/>
          <w:szCs w:val="32"/>
        </w:rPr>
      </w:pPr>
      <w:r>
        <w:rPr>
          <w:rFonts w:hint="eastAsia" w:ascii="楷体_GB2312" w:hAnsi="楷体_GB2312" w:eastAsia="楷体_GB2312" w:cs="楷体_GB2312"/>
          <w:b/>
          <w:bCs/>
          <w:szCs w:val="32"/>
        </w:rPr>
        <w:t>（二）强化主体意识</w:t>
      </w:r>
      <w:r>
        <w:rPr>
          <w:rFonts w:hint="eastAsia" w:ascii="仿宋_GB2312"/>
          <w:szCs w:val="32"/>
        </w:rPr>
        <w:t>。税务师事务所是推进行业高质量发展的主体，必须牢固树立主体意识、责任意识和使命意识，充分发挥主观能动性和积极性，认真落实加快行业高质量发展的各项措施，切实抓住发展机遇，加强改革创新，提高税务师事务所治理能力和核心竞争力。行业协会要加强检查指导，压实工作责任，对标对表推进，确保措施落地生根。</w:t>
      </w:r>
    </w:p>
    <w:p>
      <w:pPr>
        <w:spacing w:line="570" w:lineRule="exact"/>
        <w:ind w:firstLine="643" w:firstLineChars="200"/>
        <w:rPr>
          <w:rFonts w:ascii="仿宋_GB2312"/>
          <w:szCs w:val="32"/>
        </w:rPr>
      </w:pPr>
      <w:r>
        <w:rPr>
          <w:rFonts w:hint="eastAsia" w:ascii="楷体_GB2312" w:hAnsi="楷体_GB2312" w:eastAsia="楷体_GB2312" w:cs="楷体_GB2312"/>
          <w:b/>
          <w:bCs/>
          <w:szCs w:val="32"/>
        </w:rPr>
        <w:t>（三）强化行业自律</w:t>
      </w:r>
      <w:r>
        <w:rPr>
          <w:rFonts w:hint="eastAsia" w:ascii="仿宋_GB2312"/>
          <w:szCs w:val="32"/>
        </w:rPr>
        <w:t>。税务师事务所和税务师必须恪守“依法执业、诚信经营”原则，严格行业自律意识，自觉遵纪守法，遵守行业公约，坚决守住底线，不得利用不正当手段从事执业活动，不踩红线，不碰高压线，树立全省税务师行业依法、诚信的良好社会形象。</w:t>
      </w:r>
    </w:p>
    <w:p>
      <w:pPr>
        <w:spacing w:line="520" w:lineRule="exact"/>
        <w:rPr>
          <w:rFonts w:ascii="仿宋_GB2312" w:hAnsi="仿宋" w:cs="仿宋_GB2312"/>
          <w:sz w:val="28"/>
          <w:szCs w:val="28"/>
        </w:rPr>
      </w:pPr>
    </w:p>
    <w:sectPr>
      <w:footerReference r:id="rId3" w:type="default"/>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panose1 w:val="02000000000000000000"/>
    <w:charset w:val="86"/>
    <w:family w:val="script"/>
    <w:pitch w:val="default"/>
    <w:sig w:usb0="A00002BF" w:usb1="184F6CFA" w:usb2="00000012" w:usb3="00000000" w:csb0="00040001" w:csb1="00000000"/>
  </w:font>
  <w:font w:name="Arial">
    <w:panose1 w:val="020B0604020202020204"/>
    <w:charset w:val="00"/>
    <w:family w:val="swiss"/>
    <w:pitch w:val="default"/>
    <w:sig w:usb0="E0002EFF" w:usb1="C000785B" w:usb2="00000009" w:usb3="00000000" w:csb0="400001FF" w:csb1="FFFF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方正仿宋简体">
    <w:altName w:val="微软雅黑"/>
    <w:panose1 w:val="00000000000000000000"/>
    <w:charset w:val="86"/>
    <w:family w:val="auto"/>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2779157"/>
      <w:docPartObj>
        <w:docPartGallery w:val="AutoText"/>
      </w:docPartObj>
    </w:sdtPr>
    <w:sdtContent>
      <w:p>
        <w:pPr>
          <w:pStyle w:val="4"/>
          <w:jc w:val="center"/>
        </w:pPr>
        <w:r>
          <w:fldChar w:fldCharType="begin"/>
        </w:r>
        <w:r>
          <w:instrText xml:space="preserve"> PAGE   \* MERGEFORMAT </w:instrText>
        </w:r>
        <w:r>
          <w:fldChar w:fldCharType="separate"/>
        </w:r>
        <w:r>
          <w:rPr>
            <w:lang w:val="zh-CN"/>
          </w:rPr>
          <w:t>1</w:t>
        </w:r>
        <w: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HorizontalSpacing w:val="158"/>
  <w:drawingGridVerticalSpacing w:val="579"/>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23CF"/>
    <w:rsid w:val="00001B70"/>
    <w:rsid w:val="0001646E"/>
    <w:rsid w:val="00017844"/>
    <w:rsid w:val="00021FC8"/>
    <w:rsid w:val="00034BAD"/>
    <w:rsid w:val="000362D6"/>
    <w:rsid w:val="00051D98"/>
    <w:rsid w:val="00054DDC"/>
    <w:rsid w:val="00057CF2"/>
    <w:rsid w:val="00084698"/>
    <w:rsid w:val="000A03E1"/>
    <w:rsid w:val="000B7295"/>
    <w:rsid w:val="000C02D4"/>
    <w:rsid w:val="000E33EC"/>
    <w:rsid w:val="000F2DBE"/>
    <w:rsid w:val="00117EAA"/>
    <w:rsid w:val="0012319D"/>
    <w:rsid w:val="00131A0A"/>
    <w:rsid w:val="00151FC2"/>
    <w:rsid w:val="0017459A"/>
    <w:rsid w:val="001918F6"/>
    <w:rsid w:val="001A729A"/>
    <w:rsid w:val="001D07D3"/>
    <w:rsid w:val="001F5DE4"/>
    <w:rsid w:val="00202ABE"/>
    <w:rsid w:val="002323CF"/>
    <w:rsid w:val="00234739"/>
    <w:rsid w:val="00242496"/>
    <w:rsid w:val="00257B3B"/>
    <w:rsid w:val="0026136C"/>
    <w:rsid w:val="00266972"/>
    <w:rsid w:val="00283057"/>
    <w:rsid w:val="002A7A88"/>
    <w:rsid w:val="002C05B2"/>
    <w:rsid w:val="002F113A"/>
    <w:rsid w:val="00311711"/>
    <w:rsid w:val="00320FE3"/>
    <w:rsid w:val="003348CF"/>
    <w:rsid w:val="003C1E8A"/>
    <w:rsid w:val="003C5417"/>
    <w:rsid w:val="003E574B"/>
    <w:rsid w:val="00417253"/>
    <w:rsid w:val="00421E37"/>
    <w:rsid w:val="00427354"/>
    <w:rsid w:val="004337CE"/>
    <w:rsid w:val="0046535A"/>
    <w:rsid w:val="00474F40"/>
    <w:rsid w:val="00497ABC"/>
    <w:rsid w:val="004A65BD"/>
    <w:rsid w:val="004E2CEC"/>
    <w:rsid w:val="00521D40"/>
    <w:rsid w:val="00525B1C"/>
    <w:rsid w:val="00526360"/>
    <w:rsid w:val="005268F1"/>
    <w:rsid w:val="00535585"/>
    <w:rsid w:val="00584142"/>
    <w:rsid w:val="005A3C8D"/>
    <w:rsid w:val="005A53C9"/>
    <w:rsid w:val="005B05F6"/>
    <w:rsid w:val="005D1D81"/>
    <w:rsid w:val="005E4254"/>
    <w:rsid w:val="00621486"/>
    <w:rsid w:val="0062683C"/>
    <w:rsid w:val="0064547F"/>
    <w:rsid w:val="00656067"/>
    <w:rsid w:val="00660DEA"/>
    <w:rsid w:val="00666B2B"/>
    <w:rsid w:val="00695B5B"/>
    <w:rsid w:val="006A26C6"/>
    <w:rsid w:val="006A3FE6"/>
    <w:rsid w:val="006B39C9"/>
    <w:rsid w:val="006B5933"/>
    <w:rsid w:val="006C5060"/>
    <w:rsid w:val="006E4117"/>
    <w:rsid w:val="00705EAB"/>
    <w:rsid w:val="007152A7"/>
    <w:rsid w:val="00721E5E"/>
    <w:rsid w:val="00734DF9"/>
    <w:rsid w:val="00736102"/>
    <w:rsid w:val="00754CB5"/>
    <w:rsid w:val="00756C2F"/>
    <w:rsid w:val="00764995"/>
    <w:rsid w:val="00780227"/>
    <w:rsid w:val="00780A67"/>
    <w:rsid w:val="0078409D"/>
    <w:rsid w:val="00796BDC"/>
    <w:rsid w:val="007979B5"/>
    <w:rsid w:val="007E3C3E"/>
    <w:rsid w:val="007F5231"/>
    <w:rsid w:val="00811FAE"/>
    <w:rsid w:val="008120B1"/>
    <w:rsid w:val="008229E5"/>
    <w:rsid w:val="008409AE"/>
    <w:rsid w:val="00853B1C"/>
    <w:rsid w:val="00865097"/>
    <w:rsid w:val="008667A7"/>
    <w:rsid w:val="0088314B"/>
    <w:rsid w:val="00893EAF"/>
    <w:rsid w:val="008A34B6"/>
    <w:rsid w:val="008B3BBC"/>
    <w:rsid w:val="008B483C"/>
    <w:rsid w:val="008C7703"/>
    <w:rsid w:val="008D1CDE"/>
    <w:rsid w:val="008E0068"/>
    <w:rsid w:val="008E200D"/>
    <w:rsid w:val="008F0BDA"/>
    <w:rsid w:val="009247FD"/>
    <w:rsid w:val="00931A0D"/>
    <w:rsid w:val="00934AC5"/>
    <w:rsid w:val="00955AF7"/>
    <w:rsid w:val="009649B1"/>
    <w:rsid w:val="00996140"/>
    <w:rsid w:val="009A3B3A"/>
    <w:rsid w:val="009B5D5D"/>
    <w:rsid w:val="009C673D"/>
    <w:rsid w:val="009D0073"/>
    <w:rsid w:val="009E39ED"/>
    <w:rsid w:val="009E7F37"/>
    <w:rsid w:val="00A23984"/>
    <w:rsid w:val="00A451C6"/>
    <w:rsid w:val="00A55756"/>
    <w:rsid w:val="00A75409"/>
    <w:rsid w:val="00A94089"/>
    <w:rsid w:val="00A95252"/>
    <w:rsid w:val="00AA6EC2"/>
    <w:rsid w:val="00AC7132"/>
    <w:rsid w:val="00AE3079"/>
    <w:rsid w:val="00AE7059"/>
    <w:rsid w:val="00AF386F"/>
    <w:rsid w:val="00AF3B40"/>
    <w:rsid w:val="00B03E2F"/>
    <w:rsid w:val="00B1672B"/>
    <w:rsid w:val="00B171A7"/>
    <w:rsid w:val="00B31E9C"/>
    <w:rsid w:val="00B35C40"/>
    <w:rsid w:val="00B430F1"/>
    <w:rsid w:val="00B50475"/>
    <w:rsid w:val="00B6063C"/>
    <w:rsid w:val="00B73A7C"/>
    <w:rsid w:val="00B80324"/>
    <w:rsid w:val="00B84836"/>
    <w:rsid w:val="00B8782A"/>
    <w:rsid w:val="00B95A37"/>
    <w:rsid w:val="00BB17F3"/>
    <w:rsid w:val="00BC607F"/>
    <w:rsid w:val="00C12411"/>
    <w:rsid w:val="00C27A1D"/>
    <w:rsid w:val="00C61355"/>
    <w:rsid w:val="00C6227F"/>
    <w:rsid w:val="00C63B92"/>
    <w:rsid w:val="00C85631"/>
    <w:rsid w:val="00C96F87"/>
    <w:rsid w:val="00CA030A"/>
    <w:rsid w:val="00CA6BC7"/>
    <w:rsid w:val="00CB2F00"/>
    <w:rsid w:val="00CC7C04"/>
    <w:rsid w:val="00CD33AF"/>
    <w:rsid w:val="00CD7A36"/>
    <w:rsid w:val="00CF08C0"/>
    <w:rsid w:val="00D0008E"/>
    <w:rsid w:val="00D06A09"/>
    <w:rsid w:val="00D14C78"/>
    <w:rsid w:val="00D2740B"/>
    <w:rsid w:val="00D36FA6"/>
    <w:rsid w:val="00D46670"/>
    <w:rsid w:val="00D46829"/>
    <w:rsid w:val="00D658AF"/>
    <w:rsid w:val="00D748F6"/>
    <w:rsid w:val="00D751C7"/>
    <w:rsid w:val="00D77CBE"/>
    <w:rsid w:val="00D92106"/>
    <w:rsid w:val="00DE1A78"/>
    <w:rsid w:val="00DF11FB"/>
    <w:rsid w:val="00E37BDB"/>
    <w:rsid w:val="00E64617"/>
    <w:rsid w:val="00E647C5"/>
    <w:rsid w:val="00E66B1B"/>
    <w:rsid w:val="00ED4A28"/>
    <w:rsid w:val="00EE2B46"/>
    <w:rsid w:val="00EF5A84"/>
    <w:rsid w:val="00F17FFE"/>
    <w:rsid w:val="00F40566"/>
    <w:rsid w:val="00F40F1C"/>
    <w:rsid w:val="00F419B7"/>
    <w:rsid w:val="00F43307"/>
    <w:rsid w:val="00F50DAF"/>
    <w:rsid w:val="00F71F0F"/>
    <w:rsid w:val="00F87846"/>
    <w:rsid w:val="00FC20B6"/>
    <w:rsid w:val="00FC7290"/>
    <w:rsid w:val="00FE0FE9"/>
    <w:rsid w:val="08912B18"/>
    <w:rsid w:val="120717A0"/>
    <w:rsid w:val="2AA26F47"/>
    <w:rsid w:val="48210664"/>
    <w:rsid w:val="6F5776B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99" w:semiHidden="0" w:name="header"/>
    <w:lsdException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semiHidden="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1"/>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2"/>
    <w:unhideWhenUsed/>
    <w:uiPriority w:val="0"/>
    <w:pPr>
      <w:ind w:left="100" w:leftChars="2500"/>
    </w:pPr>
  </w:style>
  <w:style w:type="paragraph" w:styleId="3">
    <w:name w:val="Balloon Text"/>
    <w:basedOn w:val="1"/>
    <w:link w:val="13"/>
    <w:semiHidden/>
    <w:unhideWhenUsed/>
    <w:qFormat/>
    <w:uiPriority w:val="0"/>
    <w:rPr>
      <w:sz w:val="18"/>
      <w:szCs w:val="18"/>
    </w:rPr>
  </w:style>
  <w:style w:type="paragraph" w:styleId="4">
    <w:name w:val="footer"/>
    <w:basedOn w:val="1"/>
    <w:link w:val="11"/>
    <w:unhideWhenUsed/>
    <w:uiPriority w:val="99"/>
    <w:pPr>
      <w:tabs>
        <w:tab w:val="center" w:pos="4153"/>
        <w:tab w:val="right" w:pos="8306"/>
      </w:tabs>
      <w:snapToGrid w:val="0"/>
      <w:jc w:val="left"/>
    </w:pPr>
    <w:rPr>
      <w:sz w:val="18"/>
      <w:szCs w:val="18"/>
    </w:rPr>
  </w:style>
  <w:style w:type="paragraph" w:styleId="5">
    <w:name w:val="header"/>
    <w:basedOn w:val="1"/>
    <w:link w:val="10"/>
    <w:unhideWhenUsed/>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9">
    <w:name w:val="Hyperlink"/>
    <w:basedOn w:val="8"/>
    <w:unhideWhenUsed/>
    <w:uiPriority w:val="0"/>
    <w:rPr>
      <w:color w:val="0000FF"/>
      <w:u w:val="single"/>
    </w:rPr>
  </w:style>
  <w:style w:type="character" w:customStyle="1" w:styleId="10">
    <w:name w:val="页眉 字符"/>
    <w:basedOn w:val="8"/>
    <w:link w:val="5"/>
    <w:semiHidden/>
    <w:uiPriority w:val="99"/>
    <w:rPr>
      <w:sz w:val="18"/>
      <w:szCs w:val="18"/>
    </w:rPr>
  </w:style>
  <w:style w:type="character" w:customStyle="1" w:styleId="11">
    <w:name w:val="页脚 字符"/>
    <w:basedOn w:val="8"/>
    <w:link w:val="4"/>
    <w:qFormat/>
    <w:uiPriority w:val="99"/>
    <w:rPr>
      <w:sz w:val="18"/>
      <w:szCs w:val="18"/>
    </w:rPr>
  </w:style>
  <w:style w:type="character" w:customStyle="1" w:styleId="12">
    <w:name w:val="日期 字符"/>
    <w:basedOn w:val="8"/>
    <w:link w:val="2"/>
    <w:semiHidden/>
    <w:qFormat/>
    <w:uiPriority w:val="0"/>
    <w:rPr>
      <w:rFonts w:eastAsia="仿宋_GB2312"/>
      <w:kern w:val="2"/>
      <w:sz w:val="32"/>
      <w:szCs w:val="21"/>
    </w:rPr>
  </w:style>
  <w:style w:type="character" w:customStyle="1" w:styleId="13">
    <w:name w:val="批注框文本 字符"/>
    <w:basedOn w:val="8"/>
    <w:link w:val="3"/>
    <w:semiHidden/>
    <w:qFormat/>
    <w:uiPriority w:val="0"/>
    <w:rPr>
      <w:rFonts w:eastAsia="仿宋_GB2312"/>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7907AF9-C35F-44BA-8D7E-235AE4C3C849}">
  <ds:schemaRefs/>
</ds:datastoreItem>
</file>

<file path=docProps/app.xml><?xml version="1.0" encoding="utf-8"?>
<Properties xmlns="http://schemas.openxmlformats.org/officeDocument/2006/extended-properties" xmlns:vt="http://schemas.openxmlformats.org/officeDocument/2006/docPropsVTypes">
  <Template>Normal.dotm</Template>
  <Company>BBS.SUDA123.COM</Company>
  <Pages>10</Pages>
  <Words>778</Words>
  <Characters>4441</Characters>
  <Lines>37</Lines>
  <Paragraphs>10</Paragraphs>
  <TotalTime>1</TotalTime>
  <ScaleCrop>false</ScaleCrop>
  <LinksUpToDate>false</LinksUpToDate>
  <CharactersWithSpaces>5209</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2020-01-16T01:17:00Z</dcterms:created>
  <dc:creator>SUDA</dc:creator>
  <cp:lastModifiedBy>Afra</cp:lastModifiedBy>
  <cp:lastPrinted>2019-01-08T02:59:00Z</cp:lastPrinted>
  <dcterms:modified xsi:type="dcterms:W3CDTF">2020-12-30T06:24:24Z</dcterms:modified>
  <dc:title>中共四川省注册税务师行业委员会_x000b_</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